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2986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Times New Roman" w:hAnsi="Times New Roman" w:eastAsia="方正小标宋简体" w:cs="方正小标宋简体"/>
          <w:b/>
          <w:bCs/>
          <w:color w:val="000000"/>
          <w:sz w:val="44"/>
          <w:szCs w:val="44"/>
        </w:rPr>
      </w:pPr>
      <w:r>
        <w:rPr>
          <w:rFonts w:hint="eastAsia" w:ascii="Times New Roman" w:hAnsi="Times New Roman" w:eastAsia="方正小标宋简体" w:cs="方正小标宋简体"/>
          <w:b/>
          <w:bCs/>
          <w:color w:val="000000"/>
          <w:sz w:val="44"/>
          <w:szCs w:val="44"/>
        </w:rPr>
        <w:t>晋江市市场监督管理局</w:t>
      </w:r>
    </w:p>
    <w:p w14:paraId="3D9144E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Times New Roman" w:hAnsi="Times New Roman" w:eastAsia="方正小标宋简体" w:cs="方正小标宋简体"/>
          <w:b/>
          <w:bCs/>
          <w:color w:val="000000"/>
          <w:sz w:val="44"/>
          <w:szCs w:val="44"/>
        </w:rPr>
      </w:pPr>
      <w:r>
        <w:rPr>
          <w:rFonts w:hint="eastAsia" w:ascii="Times New Roman" w:hAnsi="Times New Roman" w:eastAsia="方正小标宋简体" w:cs="方正小标宋简体"/>
          <w:b/>
          <w:bCs/>
          <w:color w:val="000000"/>
          <w:sz w:val="44"/>
          <w:szCs w:val="44"/>
        </w:rPr>
        <w:t>行政处罚决定书</w:t>
      </w:r>
    </w:p>
    <w:p w14:paraId="61CF657C">
      <w:pPr>
        <w:wordWrap w:val="0"/>
        <w:snapToGrid w:val="0"/>
        <w:spacing w:before="312" w:beforeLines="100" w:after="312" w:afterLines="100" w:line="520" w:lineRule="exact"/>
        <w:jc w:val="center"/>
        <w:rPr>
          <w:rFonts w:hint="eastAsia" w:ascii="仿宋_GB2312" w:hAnsi="仿宋" w:eastAsia="仿宋_GB2312" w:cs="仿宋_GB2312"/>
          <w:kern w:val="1"/>
          <w:sz w:val="32"/>
          <w:szCs w:val="32"/>
          <w:lang w:eastAsia="zh-CN"/>
        </w:rPr>
      </w:pP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 name="直接箭头连接符 1"/>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14omtoAAAALAQAADwAAAAAAAAABACAAAAAiAAAAZHJzL2Rv&#10;d25yZXYueG1sUEsBAhQAFAAAAAgAh07iQH3OV+//AQAA7gMAAA4AAAAAAAAAAQAgAAAAKQEAAGRy&#10;cy9lMm9Eb2MueG1sUEsFBgAAAAAGAAYAWQEAAJoFAAAAAA==&#10;">
                <v:fill on="f" focussize="0,0"/>
                <v:stroke weight="1.5pt" color="#000000" joinstyle="round" endcap="square"/>
                <v:imagedata o:title=""/>
                <o:lock v:ext="edit" aspectratio="f"/>
              </v:shape>
            </w:pict>
          </mc:Fallback>
        </mc:AlternateContent>
      </w:r>
      <w:r>
        <w:rPr>
          <w:rFonts w:hint="eastAsia" w:ascii="仿宋_GB2312" w:hAnsi="Times New Roman" w:eastAsia="仿宋_GB2312" w:cs="仿宋_GB2312"/>
          <w:color w:val="000000"/>
          <w:sz w:val="32"/>
          <w:szCs w:val="32"/>
        </w:rPr>
        <w:t>晋市监</w:t>
      </w:r>
      <w:r>
        <w:rPr>
          <w:rFonts w:hint="eastAsia" w:ascii="仿宋_GB2312" w:hAnsi="Times New Roman" w:eastAsia="仿宋_GB2312" w:cs="仿宋_GB2312"/>
          <w:color w:val="000000"/>
          <w:sz w:val="32"/>
          <w:szCs w:val="32"/>
          <w:lang w:eastAsia="zh-CN"/>
        </w:rPr>
        <w:t>处罚</w:t>
      </w:r>
      <w:r>
        <w:rPr>
          <w:rFonts w:hint="eastAsia" w:ascii="仿宋_GB2312" w:hAnsi="Times New Roman" w:eastAsia="仿宋_GB2312" w:cs="仿宋_GB2312"/>
          <w:color w:val="000000"/>
          <w:sz w:val="32"/>
          <w:szCs w:val="32"/>
        </w:rPr>
        <w:t>〔202</w:t>
      </w:r>
      <w:r>
        <w:rPr>
          <w:rFonts w:hint="eastAsia" w:ascii="仿宋_GB2312" w:hAnsi="Times New Roman" w:eastAsia="仿宋_GB2312" w:cs="仿宋_GB2312"/>
          <w:color w:val="000000"/>
          <w:sz w:val="32"/>
          <w:szCs w:val="32"/>
          <w:lang w:val="en-US" w:eastAsia="zh-CN"/>
        </w:rPr>
        <w:t>6</w:t>
      </w:r>
      <w:r>
        <w:rPr>
          <w:rFonts w:hint="eastAsia" w:ascii="仿宋_GB2312" w:hAnsi="Times New Roman" w:eastAsia="仿宋_GB2312" w:cs="仿宋_GB2312"/>
          <w:color w:val="000000"/>
          <w:sz w:val="32"/>
          <w:szCs w:val="32"/>
        </w:rPr>
        <w:t>〕02-</w:t>
      </w:r>
      <w:r>
        <w:rPr>
          <w:rFonts w:hint="eastAsia" w:ascii="仿宋_GB2312" w:hAnsi="Times New Roman" w:eastAsia="仿宋_GB2312" w:cs="仿宋_GB2312"/>
          <w:color w:val="000000"/>
          <w:sz w:val="32"/>
          <w:szCs w:val="32"/>
          <w:lang w:val="en-US" w:eastAsia="zh-CN"/>
        </w:rPr>
        <w:t>008</w:t>
      </w:r>
      <w:r>
        <w:rPr>
          <w:rFonts w:hint="eastAsia" w:ascii="仿宋_GB2312" w:hAnsi="Times New Roman" w:eastAsia="仿宋_GB2312" w:cs="仿宋_GB2312"/>
          <w:color w:val="000000"/>
          <w:sz w:val="32"/>
          <w:szCs w:val="32"/>
        </w:rPr>
        <w:t>号</w:t>
      </w:r>
    </w:p>
    <w:p w14:paraId="731C8621">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 xml:space="preserve">当事人：晋江市金井镇宝嘉琪便利店                                            </w:t>
      </w:r>
    </w:p>
    <w:p w14:paraId="173BB608">
      <w:pPr>
        <w:keepNext w:val="0"/>
        <w:keepLines w:val="0"/>
        <w:pageBreakBefore w:val="0"/>
        <w:widowControl w:val="0"/>
        <w:kinsoku/>
        <w:wordWrap/>
        <w:overflowPunct/>
        <w:topLinePunct w:val="0"/>
        <w:autoSpaceDE/>
        <w:autoSpaceDN/>
        <w:bidi w:val="0"/>
        <w:adjustRightInd/>
        <w:snapToGrid/>
        <w:spacing w:line="500" w:lineRule="exact"/>
        <w:ind w:left="140" w:hanging="140"/>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 xml:space="preserve">主体资格证照名称：营业执照                                  </w:t>
      </w:r>
    </w:p>
    <w:p w14:paraId="649F8115">
      <w:pPr>
        <w:keepNext w:val="0"/>
        <w:keepLines w:val="0"/>
        <w:pageBreakBefore w:val="0"/>
        <w:widowControl w:val="0"/>
        <w:kinsoku/>
        <w:wordWrap/>
        <w:overflowPunct/>
        <w:topLinePunct w:val="0"/>
        <w:autoSpaceDE/>
        <w:autoSpaceDN/>
        <w:bidi w:val="0"/>
        <w:adjustRightInd/>
        <w:snapToGrid/>
        <w:spacing w:line="500" w:lineRule="exact"/>
        <w:ind w:left="140" w:hanging="140"/>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统一社会信用代码：</w:t>
      </w:r>
      <w:r>
        <w:rPr>
          <w:rFonts w:hint="eastAsia" w:ascii="仿宋_GB2312" w:hAnsi="仿宋" w:eastAsia="仿宋_GB2312" w:cs="仿宋_GB2312"/>
          <w:kern w:val="1"/>
          <w:sz w:val="32"/>
          <w:szCs w:val="32"/>
          <w:lang w:val="en-US" w:eastAsia="zh-CN"/>
        </w:rPr>
        <w:t>92350582MA331Y4J4F</w:t>
      </w:r>
      <w:r>
        <w:rPr>
          <w:rFonts w:hint="eastAsia" w:ascii="仿宋_GB2312" w:hAnsi="仿宋" w:eastAsia="仿宋_GB2312" w:cs="仿宋_GB2312"/>
          <w:kern w:val="1"/>
          <w:sz w:val="32"/>
          <w:szCs w:val="32"/>
          <w:lang w:eastAsia="zh-CN"/>
        </w:rPr>
        <w:t xml:space="preserve">                            </w:t>
      </w:r>
    </w:p>
    <w:p w14:paraId="4DE4EACF">
      <w:pPr>
        <w:keepNext w:val="0"/>
        <w:keepLines w:val="0"/>
        <w:pageBreakBefore w:val="0"/>
        <w:widowControl w:val="0"/>
        <w:kinsoku/>
        <w:wordWrap/>
        <w:overflowPunct/>
        <w:topLinePunct w:val="0"/>
        <w:autoSpaceDE/>
        <w:autoSpaceDN/>
        <w:bidi w:val="0"/>
        <w:adjustRightInd/>
        <w:snapToGrid/>
        <w:spacing w:line="500" w:lineRule="exact"/>
        <w:ind w:left="140" w:hanging="140"/>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经营场所：晋江市金井镇瑞祥路</w:t>
      </w:r>
      <w:r>
        <w:rPr>
          <w:rFonts w:hint="eastAsia" w:ascii="仿宋_GB2312" w:hAnsi="仿宋" w:eastAsia="仿宋_GB2312" w:cs="仿宋_GB2312"/>
          <w:kern w:val="1"/>
          <w:sz w:val="32"/>
          <w:szCs w:val="32"/>
          <w:lang w:val="en-US" w:eastAsia="zh-CN"/>
        </w:rPr>
        <w:t>*号</w:t>
      </w:r>
      <w:r>
        <w:rPr>
          <w:rFonts w:hint="eastAsia" w:ascii="仿宋_GB2312" w:hAnsi="仿宋" w:eastAsia="仿宋_GB2312" w:cs="仿宋_GB2312"/>
          <w:kern w:val="1"/>
          <w:sz w:val="32"/>
          <w:szCs w:val="32"/>
          <w:lang w:eastAsia="zh-CN"/>
        </w:rPr>
        <w:t xml:space="preserve">                                    </w:t>
      </w:r>
    </w:p>
    <w:p w14:paraId="6798D2F0">
      <w:pPr>
        <w:keepNext w:val="0"/>
        <w:keepLines w:val="0"/>
        <w:pageBreakBefore w:val="0"/>
        <w:widowControl w:val="0"/>
        <w:kinsoku/>
        <w:wordWrap/>
        <w:overflowPunct/>
        <w:topLinePunct w:val="0"/>
        <w:autoSpaceDE/>
        <w:autoSpaceDN/>
        <w:bidi w:val="0"/>
        <w:adjustRightInd/>
        <w:snapToGrid/>
        <w:spacing w:line="500" w:lineRule="exact"/>
        <w:ind w:left="140" w:hanging="140"/>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经营者：黄婷婷</w:t>
      </w:r>
    </w:p>
    <w:p w14:paraId="07E8DFE7">
      <w:pPr>
        <w:keepNext w:val="0"/>
        <w:keepLines w:val="0"/>
        <w:pageBreakBefore w:val="0"/>
        <w:widowControl w:val="0"/>
        <w:kinsoku/>
        <w:wordWrap/>
        <w:overflowPunct/>
        <w:topLinePunct w:val="0"/>
        <w:autoSpaceDE/>
        <w:autoSpaceDN/>
        <w:bidi w:val="0"/>
        <w:adjustRightInd/>
        <w:snapToGrid/>
        <w:spacing w:line="500" w:lineRule="exact"/>
        <w:ind w:left="140" w:hanging="140"/>
        <w:jc w:val="left"/>
        <w:textAlignment w:val="auto"/>
        <w:rPr>
          <w:rFonts w:ascii="仿宋_GB2312" w:hAnsi="仿宋" w:eastAsia="仿宋_GB2312" w:cs="仿宋_GB2312"/>
          <w:kern w:val="1"/>
          <w:sz w:val="32"/>
          <w:szCs w:val="32"/>
        </w:rPr>
      </w:pPr>
      <w:r>
        <w:rPr>
          <w:rFonts w:hint="eastAsia" w:ascii="仿宋_GB2312" w:hAnsi="仿宋" w:eastAsia="仿宋_GB2312" w:cs="仿宋_GB2312"/>
          <w:kern w:val="1"/>
          <w:sz w:val="32"/>
          <w:szCs w:val="32"/>
          <w:lang w:eastAsia="zh-CN"/>
        </w:rPr>
        <w:t>身份证号码：</w:t>
      </w:r>
      <w:r>
        <w:rPr>
          <w:rFonts w:hint="eastAsia" w:ascii="仿宋_GB2312" w:hAnsi="仿宋" w:eastAsia="仿宋_GB2312" w:cs="仿宋_GB2312"/>
          <w:kern w:val="1"/>
          <w:sz w:val="32"/>
          <w:szCs w:val="32"/>
          <w:lang w:val="en-US" w:eastAsia="zh-CN"/>
        </w:rPr>
        <w:t>***</w:t>
      </w:r>
      <w:r>
        <w:rPr>
          <w:rFonts w:ascii="仿宋_GB2312" w:hAnsi="仿宋" w:eastAsia="仿宋_GB2312" w:cs="仿宋_GB2312"/>
          <w:kern w:val="1"/>
          <w:sz w:val="32"/>
          <w:szCs w:val="32"/>
        </w:rPr>
        <w:t xml:space="preserve">      </w:t>
      </w:r>
      <w:r>
        <w:rPr>
          <w:rFonts w:hint="eastAsia" w:ascii="仿宋_GB2312" w:hAnsi="仿宋" w:eastAsia="仿宋_GB2312" w:cs="仿宋_GB2312"/>
          <w:kern w:val="1"/>
          <w:sz w:val="32"/>
          <w:szCs w:val="32"/>
        </w:rPr>
        <w:t xml:space="preserve">                  </w:t>
      </w:r>
      <w:r>
        <w:rPr>
          <w:rFonts w:ascii="仿宋_GB2312" w:hAnsi="仿宋" w:eastAsia="仿宋_GB2312" w:cs="仿宋_GB2312"/>
          <w:kern w:val="1"/>
          <w:sz w:val="32"/>
          <w:szCs w:val="32"/>
        </w:rPr>
        <w:t xml:space="preserve">              </w:t>
      </w:r>
    </w:p>
    <w:p w14:paraId="33EB3E9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202</w:t>
      </w:r>
      <w:r>
        <w:rPr>
          <w:rFonts w:hint="eastAsia" w:ascii="仿宋_GB2312" w:hAnsi="仿宋" w:eastAsia="仿宋_GB2312" w:cs="仿宋_GB2312"/>
          <w:sz w:val="32"/>
          <w:szCs w:val="32"/>
          <w:lang w:val="en-US" w:eastAsia="zh-CN"/>
        </w:rPr>
        <w:t>6</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1</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19</w:t>
      </w:r>
      <w:r>
        <w:rPr>
          <w:rFonts w:hint="eastAsia" w:ascii="仿宋_GB2312" w:hAnsi="仿宋" w:eastAsia="仿宋_GB2312" w:cs="仿宋_GB2312"/>
          <w:sz w:val="32"/>
          <w:szCs w:val="32"/>
        </w:rPr>
        <w:t>日，本局金井镇市场监督管理所执法人员</w:t>
      </w:r>
      <w:r>
        <w:rPr>
          <w:rFonts w:hint="eastAsia" w:ascii="仿宋_GB2312" w:hAnsi="仿宋" w:eastAsia="仿宋_GB2312" w:cs="仿宋_GB2312"/>
          <w:sz w:val="32"/>
          <w:szCs w:val="32"/>
          <w:lang w:eastAsia="zh-CN"/>
        </w:rPr>
        <w:t>根据</w:t>
      </w:r>
      <w:r>
        <w:rPr>
          <w:rFonts w:hint="eastAsia" w:ascii="仿宋_GB2312" w:hAnsi="仿宋" w:eastAsia="仿宋_GB2312" w:cs="仿宋_GB2312"/>
          <w:sz w:val="32"/>
          <w:szCs w:val="32"/>
          <w:lang w:val="en-US" w:eastAsia="zh-CN"/>
        </w:rPr>
        <w:t>12345投诉单</w:t>
      </w:r>
      <w:r>
        <w:rPr>
          <w:rFonts w:hint="eastAsia" w:ascii="仿宋_GB2312" w:hAnsi="仿宋" w:eastAsia="仿宋_GB2312" w:cs="仿宋_GB2312"/>
          <w:sz w:val="32"/>
          <w:szCs w:val="32"/>
        </w:rPr>
        <w:t>，对开办在</w:t>
      </w:r>
      <w:r>
        <w:rPr>
          <w:rFonts w:hint="eastAsia" w:ascii="仿宋_GB2312" w:hAnsi="仿宋" w:eastAsia="仿宋_GB2312" w:cs="仿宋_GB2312"/>
          <w:sz w:val="32"/>
          <w:szCs w:val="32"/>
          <w:lang w:eastAsia="zh-CN"/>
        </w:rPr>
        <w:t>晋江市金井镇瑞祥路</w:t>
      </w:r>
      <w:r>
        <w:rPr>
          <w:rFonts w:hint="eastAsia" w:ascii="仿宋_GB2312" w:hAnsi="仿宋" w:eastAsia="仿宋_GB2312" w:cs="仿宋_GB2312"/>
          <w:sz w:val="32"/>
          <w:szCs w:val="32"/>
          <w:lang w:val="en-US" w:eastAsia="zh-CN"/>
        </w:rPr>
        <w:t>*号</w:t>
      </w:r>
      <w:r>
        <w:rPr>
          <w:rFonts w:hint="eastAsia" w:ascii="仿宋_GB2312" w:hAnsi="仿宋" w:eastAsia="仿宋_GB2312" w:cs="仿宋_GB2312"/>
          <w:sz w:val="32"/>
          <w:szCs w:val="32"/>
        </w:rPr>
        <w:t>的</w:t>
      </w:r>
      <w:r>
        <w:rPr>
          <w:rFonts w:hint="eastAsia" w:ascii="仿宋_GB2312" w:hAnsi="仿宋" w:eastAsia="仿宋_GB2312" w:cs="仿宋_GB2312"/>
          <w:sz w:val="32"/>
          <w:szCs w:val="32"/>
          <w:lang w:eastAsia="zh-CN"/>
        </w:rPr>
        <w:t>晋江市金井镇宝嘉琪便利店</w:t>
      </w:r>
      <w:r>
        <w:rPr>
          <w:rFonts w:hint="eastAsia" w:ascii="仿宋_GB2312" w:hAnsi="仿宋" w:eastAsia="仿宋_GB2312" w:cs="仿宋_GB2312"/>
          <w:sz w:val="32"/>
          <w:szCs w:val="32"/>
        </w:rPr>
        <w:t>进行检查，</w:t>
      </w:r>
      <w:r>
        <w:rPr>
          <w:rFonts w:hint="eastAsia" w:ascii="仿宋_GB2312" w:hAnsi="仿宋" w:eastAsia="仿宋_GB2312" w:cs="仿宋_GB2312"/>
          <w:sz w:val="32"/>
          <w:szCs w:val="32"/>
          <w:lang w:val="en-US" w:eastAsia="zh-CN"/>
        </w:rPr>
        <w:t>在经营场所冰箱内发现“姜味菜瓜脯”2瓶，产品外包装没有标签标识，标有15元/瓶，当事人无法提供产品的进货台账及检验合格证明</w:t>
      </w:r>
      <w:r>
        <w:rPr>
          <w:rFonts w:hint="eastAsia" w:ascii="仿宋_GB2312" w:hAnsi="仿宋" w:eastAsia="仿宋_GB2312" w:cs="仿宋_GB2312"/>
          <w:sz w:val="32"/>
          <w:szCs w:val="32"/>
        </w:rPr>
        <w:t>。当事人</w:t>
      </w:r>
      <w:r>
        <w:rPr>
          <w:rFonts w:hint="eastAsia" w:ascii="仿宋_GB2312" w:hAnsi="仿宋" w:eastAsia="仿宋_GB2312" w:cs="仿宋_GB2312"/>
          <w:sz w:val="32"/>
          <w:szCs w:val="32"/>
          <w:lang w:eastAsia="zh-CN"/>
        </w:rPr>
        <w:t>涉嫌销售无标签标识食品和未履行进货查验制度行为</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eastAsia="zh-CN"/>
        </w:rPr>
        <w:t>违反了《中华人民共和国食品安全法》第五十三条第一款、第二款、第六十七条第一款规定</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eastAsia="zh-CN"/>
        </w:rPr>
        <w:t>经报领导批准，执法人员当场对上述涉案产品采取扣押强制措施，并于当日立案调查</w:t>
      </w:r>
      <w:r>
        <w:rPr>
          <w:rFonts w:hint="eastAsia" w:ascii="仿宋_GB2312" w:hAnsi="仿宋" w:eastAsia="仿宋_GB2312" w:cs="仿宋_GB2312"/>
          <w:sz w:val="32"/>
          <w:szCs w:val="32"/>
        </w:rPr>
        <w:t xml:space="preserve">。  </w:t>
      </w:r>
      <w:r>
        <w:rPr>
          <w:rFonts w:ascii="仿宋_GB2312" w:hAnsi="仿宋" w:eastAsia="仿宋_GB2312" w:cs="仿宋_GB2312"/>
          <w:sz w:val="32"/>
          <w:szCs w:val="32"/>
        </w:rPr>
        <w:t xml:space="preserve">   </w:t>
      </w:r>
    </w:p>
    <w:p w14:paraId="090B597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lang w:eastAsia="zh-CN"/>
        </w:rPr>
      </w:pPr>
      <w:r>
        <w:rPr>
          <w:rFonts w:hint="eastAsia" w:ascii="仿宋_GB2312" w:hAnsi="仿宋" w:eastAsia="仿宋_GB2312" w:cs="仿宋_GB2312"/>
          <w:sz w:val="32"/>
          <w:szCs w:val="32"/>
        </w:rPr>
        <w:t>经查，</w:t>
      </w:r>
      <w:r>
        <w:rPr>
          <w:rFonts w:hint="eastAsia" w:ascii="仿宋_GB2312" w:hAnsi="仿宋" w:eastAsia="仿宋_GB2312" w:cs="仿宋_GB2312"/>
          <w:sz w:val="32"/>
          <w:szCs w:val="32"/>
          <w:lang w:eastAsia="zh-CN"/>
        </w:rPr>
        <w:t>当事人向一附近人家购进“姜味菜瓜脯”</w:t>
      </w:r>
      <w:r>
        <w:rPr>
          <w:rFonts w:hint="eastAsia" w:ascii="仿宋_GB2312" w:hAnsi="仿宋" w:eastAsia="仿宋_GB2312" w:cs="仿宋_GB2312"/>
          <w:sz w:val="32"/>
          <w:szCs w:val="32"/>
          <w:lang w:val="en-US" w:eastAsia="zh-CN"/>
        </w:rPr>
        <w:t>10瓶，购进价10元/瓶，销售价15元/瓶，产品外包装没有标签标识，当事人无法提供产品的进货台账及检验合格证明。至被查获止，当事人已销售</w:t>
      </w:r>
      <w:r>
        <w:rPr>
          <w:rFonts w:hint="eastAsia" w:ascii="仿宋_GB2312" w:hAnsi="仿宋" w:eastAsia="仿宋_GB2312" w:cs="仿宋_GB2312"/>
          <w:sz w:val="32"/>
          <w:szCs w:val="32"/>
          <w:lang w:eastAsia="zh-CN"/>
        </w:rPr>
        <w:t>“姜味菜瓜脯”</w:t>
      </w:r>
      <w:r>
        <w:rPr>
          <w:rFonts w:hint="eastAsia" w:ascii="仿宋_GB2312" w:hAnsi="仿宋" w:eastAsia="仿宋_GB2312" w:cs="仿宋_GB2312"/>
          <w:sz w:val="32"/>
          <w:szCs w:val="32"/>
          <w:lang w:val="en-US" w:eastAsia="zh-CN"/>
        </w:rPr>
        <w:t>8瓶，剩余2瓶已被本局扣押。</w:t>
      </w:r>
      <w:r>
        <w:rPr>
          <w:rFonts w:hint="eastAsia" w:ascii="仿宋_GB2312" w:hAnsi="仿宋" w:eastAsia="仿宋_GB2312" w:cs="仿宋_GB2312"/>
          <w:sz w:val="32"/>
          <w:szCs w:val="32"/>
        </w:rPr>
        <w:t>由于当事人无法找到供货人，执法人员无法作进一步调查</w:t>
      </w:r>
      <w:r>
        <w:rPr>
          <w:rFonts w:hint="eastAsia" w:ascii="仿宋_GB2312" w:hAnsi="仿宋" w:eastAsia="仿宋_GB2312" w:cs="仿宋_GB2312"/>
          <w:sz w:val="32"/>
          <w:szCs w:val="32"/>
          <w:lang w:eastAsia="zh-CN"/>
        </w:rPr>
        <w:t>，据此认定，本案货值金额</w:t>
      </w:r>
      <w:r>
        <w:rPr>
          <w:rFonts w:hint="eastAsia" w:ascii="仿宋_GB2312" w:hAnsi="仿宋" w:eastAsia="仿宋_GB2312" w:cs="仿宋_GB2312"/>
          <w:sz w:val="32"/>
          <w:szCs w:val="32"/>
          <w:lang w:val="en-US" w:eastAsia="zh-CN"/>
        </w:rPr>
        <w:t>150</w:t>
      </w:r>
      <w:r>
        <w:rPr>
          <w:rFonts w:hint="eastAsia" w:ascii="仿宋_GB2312" w:hAnsi="仿宋" w:eastAsia="仿宋_GB2312" w:cs="仿宋_GB2312"/>
          <w:sz w:val="32"/>
          <w:szCs w:val="32"/>
          <w:lang w:eastAsia="zh-CN"/>
        </w:rPr>
        <w:t>元，违法所得</w:t>
      </w:r>
      <w:r>
        <w:rPr>
          <w:rFonts w:hint="eastAsia" w:ascii="仿宋_GB2312" w:hAnsi="仿宋" w:eastAsia="仿宋_GB2312" w:cs="仿宋_GB2312"/>
          <w:sz w:val="32"/>
          <w:szCs w:val="32"/>
          <w:lang w:val="en-US" w:eastAsia="zh-CN"/>
        </w:rPr>
        <w:t>120</w:t>
      </w:r>
      <w:r>
        <w:rPr>
          <w:rFonts w:hint="eastAsia" w:ascii="仿宋_GB2312" w:hAnsi="仿宋" w:eastAsia="仿宋_GB2312" w:cs="仿宋_GB2312"/>
          <w:sz w:val="32"/>
          <w:szCs w:val="32"/>
          <w:lang w:eastAsia="zh-CN"/>
        </w:rPr>
        <w:t>元。因</w:t>
      </w:r>
      <w:r>
        <w:rPr>
          <w:rFonts w:hint="eastAsia" w:ascii="仿宋_GB2312" w:hAnsi="仿宋" w:eastAsia="仿宋_GB2312" w:cs="仿宋_GB2312"/>
          <w:sz w:val="32"/>
          <w:szCs w:val="32"/>
        </w:rPr>
        <w:t>产品已销售到消费终端，无法召回，召回数量为零</w:t>
      </w:r>
      <w:r>
        <w:rPr>
          <w:rFonts w:hint="eastAsia" w:ascii="仿宋_GB2312" w:hAnsi="仿宋" w:eastAsia="仿宋_GB2312" w:cs="仿宋_GB2312"/>
          <w:sz w:val="32"/>
          <w:szCs w:val="32"/>
          <w:lang w:eastAsia="zh-CN"/>
        </w:rPr>
        <w:t>。</w:t>
      </w:r>
    </w:p>
    <w:p w14:paraId="7EC074D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u w:val="none"/>
          <w:lang w:eastAsia="zh-CN"/>
        </w:rPr>
      </w:pPr>
      <w:r>
        <w:rPr>
          <w:rFonts w:hint="eastAsia" w:ascii="仿宋_GB2312" w:hAnsi="仿宋" w:eastAsia="仿宋_GB2312" w:cs="仿宋_GB2312"/>
          <w:sz w:val="32"/>
          <w:szCs w:val="32"/>
        </w:rPr>
        <w:t>《</w:t>
      </w:r>
      <w:r>
        <w:rPr>
          <w:rFonts w:hint="eastAsia" w:ascii="仿宋_GB2312" w:hAnsi="仿宋" w:eastAsia="仿宋_GB2312" w:cs="仿宋_GB2312"/>
          <w:sz w:val="32"/>
          <w:szCs w:val="32"/>
          <w:lang w:eastAsia="zh-CN"/>
        </w:rPr>
        <w:t>蔬菜制品国家食品安全监督抽检实施细则</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val="en-US" w:eastAsia="zh-CN"/>
        </w:rPr>
        <w:t>2</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val="en-US" w:eastAsia="zh-CN"/>
        </w:rPr>
        <w:t>1酱腌菜</w:t>
      </w:r>
      <w:r>
        <w:rPr>
          <w:rFonts w:hint="eastAsia" w:ascii="仿宋_GB2312" w:hAnsi="仿宋" w:eastAsia="仿宋_GB2312" w:cs="仿宋_GB2312"/>
          <w:sz w:val="32"/>
          <w:szCs w:val="32"/>
          <w:lang w:eastAsia="zh-CN"/>
        </w:rPr>
        <w:t>抽样方法及数量</w:t>
      </w:r>
      <w:r>
        <w:rPr>
          <w:rFonts w:hint="eastAsia" w:ascii="仿宋_GB2312" w:hAnsi="仿宋" w:eastAsia="仿宋_GB2312" w:cs="仿宋_GB2312"/>
          <w:sz w:val="32"/>
          <w:szCs w:val="32"/>
        </w:rPr>
        <w:t>规定，流通环节抽样时，同一批次</w:t>
      </w:r>
      <w:r>
        <w:rPr>
          <w:rFonts w:hint="eastAsia" w:ascii="仿宋_GB2312" w:hAnsi="仿宋" w:eastAsia="仿宋_GB2312" w:cs="仿宋_GB2312"/>
          <w:sz w:val="32"/>
          <w:szCs w:val="32"/>
          <w:lang w:eastAsia="zh-CN"/>
        </w:rPr>
        <w:t>待销</w:t>
      </w:r>
      <w:r>
        <w:rPr>
          <w:rFonts w:hint="eastAsia" w:ascii="仿宋_GB2312" w:hAnsi="仿宋" w:eastAsia="仿宋_GB2312" w:cs="仿宋_GB2312"/>
          <w:sz w:val="32"/>
          <w:szCs w:val="32"/>
        </w:rPr>
        <w:t>产品，抽</w:t>
      </w:r>
      <w:r>
        <w:rPr>
          <w:rFonts w:hint="eastAsia" w:ascii="仿宋_GB2312" w:hAnsi="仿宋" w:eastAsia="仿宋_GB2312" w:cs="仿宋_GB2312"/>
          <w:sz w:val="32"/>
          <w:szCs w:val="32"/>
          <w:lang w:eastAsia="zh-CN"/>
        </w:rPr>
        <w:t>取</w:t>
      </w:r>
      <w:r>
        <w:rPr>
          <w:rFonts w:hint="eastAsia" w:ascii="仿宋_GB2312" w:hAnsi="仿宋" w:eastAsia="仿宋_GB2312" w:cs="仿宋_GB2312"/>
          <w:sz w:val="32"/>
          <w:szCs w:val="32"/>
        </w:rPr>
        <w:t>样品量不少于</w:t>
      </w:r>
      <w:r>
        <w:rPr>
          <w:rFonts w:hint="eastAsia" w:ascii="仿宋_GB2312" w:hAnsi="仿宋" w:eastAsia="仿宋_GB2312" w:cs="仿宋_GB2312"/>
          <w:sz w:val="32"/>
          <w:szCs w:val="32"/>
          <w:lang w:val="en-US" w:eastAsia="zh-CN"/>
        </w:rPr>
        <w:t>1Kg，不少于10个独立包装</w:t>
      </w:r>
      <w:r>
        <w:rPr>
          <w:rFonts w:hint="eastAsia" w:ascii="仿宋_GB2312" w:hAnsi="仿宋" w:eastAsia="仿宋_GB2312" w:cs="仿宋_GB2312"/>
          <w:sz w:val="32"/>
          <w:szCs w:val="32"/>
        </w:rPr>
        <w:t>。本案中，扣押</w:t>
      </w:r>
      <w:r>
        <w:rPr>
          <w:rFonts w:hint="eastAsia" w:ascii="仿宋_GB2312" w:hAnsi="仿宋" w:eastAsia="仿宋_GB2312" w:cs="仿宋_GB2312"/>
          <w:sz w:val="32"/>
          <w:szCs w:val="32"/>
          <w:lang w:eastAsia="zh-CN"/>
        </w:rPr>
        <w:t>“姜味菜瓜脯”</w:t>
      </w:r>
      <w:r>
        <w:rPr>
          <w:rFonts w:hint="eastAsia" w:ascii="仿宋_GB2312" w:hAnsi="仿宋" w:eastAsia="仿宋_GB2312" w:cs="仿宋_GB2312"/>
          <w:sz w:val="32"/>
          <w:szCs w:val="32"/>
        </w:rPr>
        <w:t xml:space="preserve">数量未达到抽样数量，故不予送检。    </w:t>
      </w:r>
    </w:p>
    <w:p w14:paraId="3F9DCDC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_GB2312" w:hAnsi="仿宋" w:eastAsia="仿宋_GB2312" w:cs="仿宋_GB2312"/>
          <w:sz w:val="32"/>
          <w:szCs w:val="32"/>
        </w:rPr>
      </w:pPr>
      <w:r>
        <w:rPr>
          <w:rFonts w:hint="eastAsia" w:ascii="仿宋_GB2312" w:hAnsi="仿宋" w:eastAsia="仿宋_GB2312" w:cs="仿宋_GB2312"/>
          <w:sz w:val="32"/>
          <w:szCs w:val="32"/>
        </w:rPr>
        <w:t>上述事实，主要有以下证据证明：现场</w:t>
      </w:r>
      <w:r>
        <w:rPr>
          <w:rFonts w:hint="eastAsia" w:ascii="仿宋_GB2312" w:hAnsi="仿宋" w:eastAsia="仿宋_GB2312" w:cs="仿宋_GB2312"/>
          <w:sz w:val="32"/>
          <w:szCs w:val="32"/>
          <w:lang w:eastAsia="zh-CN"/>
        </w:rPr>
        <w:t>检查</w:t>
      </w:r>
      <w:r>
        <w:rPr>
          <w:rFonts w:hint="eastAsia" w:ascii="仿宋_GB2312" w:hAnsi="仿宋" w:eastAsia="仿宋_GB2312" w:cs="仿宋_GB2312"/>
          <w:sz w:val="32"/>
          <w:szCs w:val="32"/>
        </w:rPr>
        <w:t>笔录、询问笔录、</w:t>
      </w:r>
      <w:r>
        <w:rPr>
          <w:rFonts w:hint="eastAsia" w:ascii="仿宋_GB2312" w:hAnsi="仿宋" w:eastAsia="仿宋_GB2312" w:cs="仿宋_GB2312"/>
          <w:sz w:val="32"/>
          <w:szCs w:val="32"/>
          <w:lang w:eastAsia="zh-CN"/>
        </w:rPr>
        <w:t>现场照片、食品召回公告</w:t>
      </w:r>
      <w:r>
        <w:rPr>
          <w:rFonts w:hint="eastAsia" w:ascii="仿宋_GB2312" w:hAnsi="仿宋" w:eastAsia="仿宋_GB2312" w:cs="仿宋_GB2312"/>
          <w:sz w:val="32"/>
          <w:szCs w:val="32"/>
        </w:rPr>
        <w:t>等证据为证。</w:t>
      </w:r>
      <w:r>
        <w:rPr>
          <w:rFonts w:ascii="仿宋_GB2312" w:hAnsi="仿宋" w:eastAsia="仿宋_GB2312" w:cs="仿宋_GB2312"/>
          <w:sz w:val="32"/>
          <w:szCs w:val="32"/>
        </w:rPr>
        <w:t xml:space="preserve">                       </w:t>
      </w:r>
    </w:p>
    <w:p w14:paraId="235E19E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rPr>
      </w:pPr>
      <w:r>
        <w:rPr>
          <w:rFonts w:ascii="仿宋_GB2312" w:hAnsi="仿宋" w:eastAsia="仿宋_GB2312" w:cs="仿宋_GB2312"/>
          <w:sz w:val="32"/>
          <w:szCs w:val="32"/>
        </w:rPr>
        <w:t>20</w:t>
      </w:r>
      <w:r>
        <w:rPr>
          <w:rFonts w:hint="eastAsia" w:ascii="仿宋_GB2312" w:hAnsi="仿宋" w:eastAsia="仿宋_GB2312" w:cs="仿宋_GB2312"/>
          <w:sz w:val="32"/>
          <w:szCs w:val="32"/>
        </w:rPr>
        <w:t>2</w:t>
      </w:r>
      <w:r>
        <w:rPr>
          <w:rFonts w:hint="eastAsia" w:ascii="仿宋_GB2312" w:hAnsi="仿宋" w:eastAsia="仿宋_GB2312" w:cs="仿宋_GB2312"/>
          <w:sz w:val="32"/>
          <w:szCs w:val="32"/>
          <w:lang w:val="en-US" w:eastAsia="zh-CN"/>
        </w:rPr>
        <w:t>5</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11</w:t>
      </w:r>
      <w:r>
        <w:rPr>
          <w:rFonts w:hint="eastAsia" w:ascii="仿宋_GB2312" w:hAnsi="仿宋" w:eastAsia="仿宋_GB2312" w:cs="仿宋_GB2312"/>
          <w:sz w:val="32"/>
          <w:szCs w:val="32"/>
        </w:rPr>
        <w:t>月</w:t>
      </w:r>
      <w:r>
        <w:rPr>
          <w:rFonts w:hint="eastAsia" w:ascii="仿宋_GB2312" w:hAnsi="仿宋" w:eastAsia="仿宋_GB2312" w:cs="仿宋_GB2312"/>
          <w:color w:val="auto"/>
          <w:sz w:val="32"/>
          <w:szCs w:val="32"/>
          <w:lang w:val="en-US" w:eastAsia="zh-CN"/>
        </w:rPr>
        <w:t>12</w:t>
      </w:r>
      <w:r>
        <w:rPr>
          <w:rFonts w:hint="eastAsia" w:ascii="仿宋_GB2312" w:hAnsi="仿宋" w:eastAsia="仿宋_GB2312" w:cs="仿宋_GB2312"/>
          <w:sz w:val="32"/>
          <w:szCs w:val="32"/>
        </w:rPr>
        <w:t>日，本局向当事人送达了《行政处罚告知书》</w:t>
      </w:r>
      <w:r>
        <w:rPr>
          <w:rFonts w:ascii="仿宋_GB2312" w:hAnsi="仿宋" w:eastAsia="仿宋_GB2312" w:cs="仿宋_GB2312"/>
          <w:sz w:val="32"/>
          <w:szCs w:val="32"/>
        </w:rPr>
        <w:t>(</w:t>
      </w:r>
      <w:r>
        <w:rPr>
          <w:rFonts w:hint="eastAsia" w:ascii="仿宋_GB2312" w:hAnsi="仿宋" w:eastAsia="仿宋_GB2312" w:cs="仿宋_GB2312"/>
          <w:sz w:val="32"/>
          <w:szCs w:val="32"/>
        </w:rPr>
        <w:t>晋市监</w:t>
      </w:r>
      <w:r>
        <w:rPr>
          <w:rFonts w:hint="eastAsia" w:ascii="仿宋_GB2312" w:hAnsi="仿宋" w:eastAsia="仿宋_GB2312" w:cs="仿宋_GB2312"/>
          <w:sz w:val="32"/>
          <w:szCs w:val="32"/>
          <w:lang w:eastAsia="zh-CN"/>
        </w:rPr>
        <w:t>罚告</w:t>
      </w:r>
      <w:r>
        <w:rPr>
          <w:rFonts w:ascii="仿宋_GB2312" w:hAnsi="仿宋" w:eastAsia="仿宋_GB2312" w:cs="仿宋_GB2312"/>
          <w:sz w:val="32"/>
          <w:szCs w:val="32"/>
        </w:rPr>
        <w:t>[20</w:t>
      </w:r>
      <w:r>
        <w:rPr>
          <w:rFonts w:hint="eastAsia" w:ascii="仿宋_GB2312" w:hAnsi="仿宋" w:eastAsia="仿宋_GB2312" w:cs="仿宋_GB2312"/>
          <w:sz w:val="32"/>
          <w:szCs w:val="32"/>
        </w:rPr>
        <w:t>2</w:t>
      </w:r>
      <w:r>
        <w:rPr>
          <w:rFonts w:hint="eastAsia" w:ascii="仿宋_GB2312" w:hAnsi="仿宋" w:eastAsia="仿宋_GB2312" w:cs="仿宋_GB2312"/>
          <w:sz w:val="32"/>
          <w:szCs w:val="32"/>
          <w:lang w:val="en-US" w:eastAsia="zh-CN"/>
        </w:rPr>
        <w:t>5</w:t>
      </w:r>
      <w:r>
        <w:rPr>
          <w:rFonts w:ascii="仿宋_GB2312" w:hAnsi="仿宋" w:eastAsia="仿宋_GB2312" w:cs="仿宋_GB2312"/>
          <w:sz w:val="32"/>
          <w:szCs w:val="32"/>
        </w:rPr>
        <w:t>]</w:t>
      </w:r>
      <w:r>
        <w:rPr>
          <w:rFonts w:hint="eastAsia" w:ascii="仿宋_GB2312" w:hAnsi="仿宋" w:eastAsia="仿宋_GB2312" w:cs="仿宋_GB2312"/>
          <w:sz w:val="32"/>
          <w:szCs w:val="32"/>
        </w:rPr>
        <w:t>02</w:t>
      </w:r>
      <w:r>
        <w:rPr>
          <w:rFonts w:ascii="仿宋_GB2312" w:hAnsi="仿宋" w:eastAsia="仿宋_GB2312" w:cs="仿宋_GB2312"/>
          <w:sz w:val="32"/>
          <w:szCs w:val="32"/>
        </w:rPr>
        <w:t>-</w:t>
      </w:r>
      <w:r>
        <w:rPr>
          <w:rFonts w:hint="eastAsia" w:ascii="仿宋_GB2312" w:hAnsi="仿宋" w:eastAsia="仿宋_GB2312" w:cs="仿宋_GB2312"/>
          <w:sz w:val="32"/>
          <w:szCs w:val="32"/>
          <w:lang w:val="en-US" w:eastAsia="zh-CN"/>
        </w:rPr>
        <w:t>144</w:t>
      </w:r>
      <w:r>
        <w:rPr>
          <w:rFonts w:hint="eastAsia" w:ascii="仿宋_GB2312" w:hAnsi="仿宋" w:eastAsia="仿宋_GB2312" w:cs="仿宋_GB2312"/>
          <w:sz w:val="32"/>
          <w:szCs w:val="32"/>
        </w:rPr>
        <w:t>号</w:t>
      </w:r>
      <w:r>
        <w:rPr>
          <w:rFonts w:ascii="仿宋_GB2312" w:hAnsi="仿宋" w:eastAsia="仿宋_GB2312" w:cs="仿宋_GB2312"/>
          <w:sz w:val="32"/>
          <w:szCs w:val="32"/>
        </w:rPr>
        <w:t>)</w:t>
      </w:r>
      <w:r>
        <w:rPr>
          <w:rFonts w:hint="eastAsia" w:ascii="仿宋_GB2312" w:hAnsi="仿宋" w:eastAsia="仿宋_GB2312" w:cs="仿宋_GB2312"/>
          <w:sz w:val="32"/>
          <w:szCs w:val="32"/>
        </w:rPr>
        <w:t>，当事人在法定期限内未提出陈述或申辩意见。</w:t>
      </w:r>
    </w:p>
    <w:p w14:paraId="25B1074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本局认为：</w:t>
      </w:r>
      <w:r>
        <w:rPr>
          <w:rFonts w:hint="eastAsia" w:ascii="仿宋_GB2312" w:hAnsi="仿宋" w:eastAsia="仿宋_GB2312" w:cs="仿宋_GB2312"/>
          <w:sz w:val="32"/>
          <w:szCs w:val="32"/>
          <w:lang w:eastAsia="zh-CN"/>
        </w:rPr>
        <w:t>当事人销售无标签标识食品的行为，违反了《中华人民共和国食品安全法》第六十七条第一款的规定；当事人未进行进货查验和建立相关进货台账的行为违反了《中华人民共和国食品安全法》第五十三条第一款、第二款的规定。当事人销售无标签标识食品及未履行进货查验义务两种违法行为有牵连关系，参照《福建省市场监督管理行政处罚裁量权适用规则》第二十一条第二款的规定，适用吸收原则，择重而处，按照《中华人民共和国食品安全法》第一百二十五条第一款第二项规定处罚。鉴于当事人积极配合市场监管部门调查，如实陈述违法事实并主动提供证据材料，具有《福建省市场监督管理行政处罚裁量权适用规则》第十一条第二项规定的可以从轻行政处罚的情形。参照福建省市场监督管理系统适用《中华人民共和国食品安全法》行政处罚裁量基准细化标准</w:t>
      </w:r>
      <w:r>
        <w:rPr>
          <w:rFonts w:hint="eastAsia" w:ascii="仿宋_GB2312" w:hAnsi="仿宋" w:eastAsia="仿宋_GB2312" w:cs="仿宋_GB2312"/>
          <w:sz w:val="32"/>
          <w:szCs w:val="32"/>
          <w:lang w:val="en-US" w:eastAsia="zh-CN"/>
        </w:rPr>
        <w:t>SP-4档从轻处罚</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eastAsia="zh-CN"/>
        </w:rPr>
        <w:t>依据《中华人民共和国食品安全法》第一百二十五条第一款第二项的规定，作出</w:t>
      </w:r>
      <w:r>
        <w:rPr>
          <w:rFonts w:hint="eastAsia" w:ascii="仿宋_GB2312" w:hAnsi="仿宋" w:eastAsia="仿宋_GB2312" w:cs="仿宋_GB2312"/>
          <w:sz w:val="32"/>
          <w:szCs w:val="32"/>
        </w:rPr>
        <w:t>处罚如下：</w:t>
      </w:r>
    </w:p>
    <w:p w14:paraId="0FDF58E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1、没收无标签标识的</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eastAsia="zh-CN"/>
        </w:rPr>
        <w:t>姜味菜瓜脯</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val="en-US" w:eastAsia="zh-CN"/>
        </w:rPr>
        <w:t>2瓶；</w:t>
      </w:r>
    </w:p>
    <w:p w14:paraId="20F855D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lang w:eastAsia="zh-CN"/>
        </w:rPr>
      </w:pPr>
      <w:r>
        <w:rPr>
          <w:rFonts w:hint="eastAsia" w:ascii="仿宋_GB2312" w:hAnsi="仿宋" w:eastAsia="仿宋_GB2312" w:cs="仿宋_GB2312"/>
          <w:sz w:val="32"/>
          <w:szCs w:val="32"/>
          <w:lang w:val="en-US" w:eastAsia="zh-CN"/>
        </w:rPr>
        <w:t>2、</w:t>
      </w:r>
      <w:r>
        <w:rPr>
          <w:rFonts w:hint="eastAsia" w:ascii="仿宋_GB2312" w:hAnsi="仿宋" w:eastAsia="仿宋_GB2312" w:cs="仿宋_GB2312"/>
          <w:sz w:val="32"/>
          <w:szCs w:val="32"/>
        </w:rPr>
        <w:t>没收</w:t>
      </w:r>
      <w:r>
        <w:rPr>
          <w:rFonts w:hint="eastAsia" w:ascii="仿宋_GB2312" w:hAnsi="仿宋" w:eastAsia="仿宋_GB2312" w:cs="仿宋_GB2312"/>
          <w:sz w:val="32"/>
          <w:szCs w:val="32"/>
          <w:lang w:eastAsia="zh-CN"/>
        </w:rPr>
        <w:t>违法所得</w:t>
      </w:r>
      <w:r>
        <w:rPr>
          <w:rFonts w:hint="eastAsia" w:ascii="仿宋_GB2312" w:hAnsi="仿宋" w:eastAsia="仿宋_GB2312" w:cs="仿宋_GB2312"/>
          <w:sz w:val="32"/>
          <w:szCs w:val="32"/>
          <w:lang w:val="en-US" w:eastAsia="zh-CN"/>
        </w:rPr>
        <w:t>120元；</w:t>
      </w:r>
    </w:p>
    <w:p w14:paraId="7F7988A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lang w:val="en-US" w:eastAsia="zh-CN"/>
        </w:rPr>
        <w:t>3、处以</w:t>
      </w:r>
      <w:r>
        <w:rPr>
          <w:rFonts w:hint="eastAsia" w:ascii="仿宋_GB2312" w:hAnsi="仿宋" w:eastAsia="仿宋_GB2312" w:cs="仿宋_GB2312"/>
          <w:sz w:val="32"/>
          <w:szCs w:val="32"/>
        </w:rPr>
        <w:t>罚款</w:t>
      </w:r>
      <w:r>
        <w:rPr>
          <w:rFonts w:hint="eastAsia" w:ascii="仿宋_GB2312" w:hAnsi="仿宋" w:eastAsia="仿宋_GB2312" w:cs="仿宋_GB2312"/>
          <w:sz w:val="32"/>
          <w:szCs w:val="32"/>
          <w:lang w:val="en-US" w:eastAsia="zh-CN"/>
        </w:rPr>
        <w:t>5000</w:t>
      </w:r>
      <w:r>
        <w:rPr>
          <w:rFonts w:hint="eastAsia" w:ascii="仿宋_GB2312" w:hAnsi="仿宋" w:eastAsia="仿宋_GB2312" w:cs="仿宋_GB2312"/>
          <w:sz w:val="32"/>
          <w:szCs w:val="32"/>
        </w:rPr>
        <w:t>元。</w:t>
      </w:r>
    </w:p>
    <w:p w14:paraId="520FC40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上述款项</w:t>
      </w:r>
      <w:r>
        <w:rPr>
          <w:rFonts w:hint="eastAsia" w:ascii="仿宋_GB2312" w:hAnsi="仿宋" w:eastAsia="仿宋_GB2312" w:cs="仿宋_GB2312"/>
          <w:sz w:val="32"/>
          <w:szCs w:val="32"/>
          <w:lang w:val="en-US" w:eastAsia="zh-CN"/>
        </w:rPr>
        <w:t>合计5120</w:t>
      </w:r>
      <w:r>
        <w:rPr>
          <w:rFonts w:hint="eastAsia" w:ascii="仿宋_GB2312" w:hAnsi="仿宋" w:eastAsia="仿宋_GB2312" w:cs="仿宋_GB2312"/>
          <w:sz w:val="32"/>
          <w:szCs w:val="32"/>
        </w:rPr>
        <w:t>元，当事人应当自收到本决定书之日起十五日内</w:t>
      </w:r>
      <w:r>
        <w:rPr>
          <w:rFonts w:hint="eastAsia" w:ascii="仿宋_GB2312" w:hAnsi="仿宋" w:eastAsia="仿宋_GB2312" w:cs="仿宋_GB2312"/>
          <w:sz w:val="32"/>
          <w:szCs w:val="32"/>
          <w:lang w:eastAsia="zh-CN"/>
        </w:rPr>
        <w:t>，持福建省政府非税收入缴款通知书（缴款码）通过银行网点或电子支付缴款</w:t>
      </w:r>
      <w:r>
        <w:rPr>
          <w:rFonts w:hint="eastAsia" w:ascii="仿宋_GB2312" w:hAnsi="仿宋" w:eastAsia="仿宋_GB2312" w:cs="仿宋_GB2312"/>
          <w:sz w:val="32"/>
          <w:szCs w:val="32"/>
        </w:rPr>
        <w:t>。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0E4570A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当事人如对本行政处罚决定不服，可在接到本行政处罚决定书之日起六十日内向晋江市人民政府申请复议，也可</w:t>
      </w:r>
      <w:r>
        <w:rPr>
          <w:rFonts w:hint="eastAsia" w:ascii="仿宋_GB2312" w:hAnsi="仿宋" w:eastAsia="仿宋_GB2312" w:cs="仿宋_GB2312"/>
          <w:sz w:val="32"/>
          <w:szCs w:val="32"/>
          <w:lang w:eastAsia="zh-CN"/>
        </w:rPr>
        <w:t>以在</w:t>
      </w:r>
      <w:r>
        <w:rPr>
          <w:rFonts w:hint="eastAsia" w:ascii="仿宋_GB2312" w:hAnsi="仿宋" w:eastAsia="仿宋_GB2312" w:cs="仿宋_GB2312"/>
          <w:sz w:val="32"/>
          <w:szCs w:val="32"/>
        </w:rPr>
        <w:t>六个月内依法向</w:t>
      </w:r>
      <w:r>
        <w:rPr>
          <w:rFonts w:hint="eastAsia" w:ascii="仿宋_GB2312" w:hAnsi="仿宋" w:eastAsia="仿宋_GB2312" w:cs="仿宋_GB2312"/>
          <w:sz w:val="32"/>
          <w:szCs w:val="32"/>
          <w:lang w:eastAsia="zh-CN"/>
        </w:rPr>
        <w:t>泉州市洛江区</w:t>
      </w:r>
      <w:r>
        <w:rPr>
          <w:rFonts w:hint="eastAsia" w:ascii="仿宋_GB2312" w:hAnsi="仿宋" w:eastAsia="仿宋_GB2312" w:cs="仿宋_GB2312"/>
          <w:sz w:val="32"/>
          <w:szCs w:val="32"/>
        </w:rPr>
        <w:t>人民法院提起行政诉讼。当事人对行政处罚决定不服而申请行政复议或提起行政诉讼期间，行政处罚不停止执行，法律、法规、规</w:t>
      </w:r>
      <w:bookmarkStart w:id="3" w:name="_GoBack"/>
      <w:bookmarkEnd w:id="3"/>
      <w:r>
        <w:rPr>
          <w:rFonts w:hint="eastAsia" w:ascii="仿宋_GB2312" w:hAnsi="仿宋" w:eastAsia="仿宋_GB2312" w:cs="仿宋_GB2312"/>
          <w:sz w:val="32"/>
          <w:szCs w:val="32"/>
        </w:rPr>
        <w:t>章另有规定的，从其规定。</w:t>
      </w:r>
    </w:p>
    <w:p w14:paraId="4B817EDD">
      <w:pPr>
        <w:spacing w:line="279" w:lineRule="auto"/>
        <w:rPr>
          <w:rFonts w:ascii="Microsoft JhengHei"/>
          <w:spacing w:val="0"/>
          <w:w w:val="100"/>
        </w:rPr>
      </w:pPr>
    </w:p>
    <w:p w14:paraId="5B52CD64">
      <w:pPr>
        <w:spacing w:line="279" w:lineRule="auto"/>
        <w:rPr>
          <w:rFonts w:ascii="Microsoft JhengHei"/>
          <w:spacing w:val="0"/>
          <w:w w:val="100"/>
        </w:rPr>
      </w:pPr>
    </w:p>
    <w:p w14:paraId="0E5B2535">
      <w:pPr>
        <w:spacing w:line="279" w:lineRule="auto"/>
        <w:rPr>
          <w:rFonts w:ascii="Microsoft JhengHei"/>
          <w:spacing w:val="0"/>
          <w:w w:val="100"/>
        </w:rPr>
      </w:pPr>
    </w:p>
    <w:p w14:paraId="2141C6B1">
      <w:pPr>
        <w:spacing w:line="279" w:lineRule="auto"/>
        <w:rPr>
          <w:rFonts w:hint="default" w:ascii="Microsoft JhengHei" w:eastAsia="宋体"/>
          <w:color w:val="FF0000"/>
          <w:spacing w:val="0"/>
          <w:w w:val="100"/>
          <w:lang w:val="en-US" w:eastAsia="zh-CN"/>
        </w:rPr>
      </w:pPr>
      <w:bookmarkStart w:id="0" w:name="thts1"/>
      <w:r>
        <w:rPr>
          <w:rFonts w:ascii="仿宋" w:hAnsi="仿宋" w:eastAsia="仿宋" w:cs="仿宋"/>
          <w:sz w:val="32"/>
        </w:rPr>
        <w:t xml:space="preserve"> </w:t>
      </w:r>
      <w:bookmarkEnd w:id="0"/>
    </w:p>
    <w:p w14:paraId="330FA117">
      <w:pPr>
        <w:keepNext w:val="0"/>
        <w:keepLines w:val="0"/>
        <w:pageBreakBefore w:val="0"/>
        <w:widowControl/>
        <w:tabs>
          <w:tab w:val="left" w:pos="5667"/>
        </w:tabs>
        <w:kinsoku w:val="0"/>
        <w:wordWrap w:val="0"/>
        <w:overflowPunct/>
        <w:topLinePunct w:val="0"/>
        <w:autoSpaceDE w:val="0"/>
        <w:autoSpaceDN w:val="0"/>
        <w:bidi/>
        <w:adjustRightInd w:val="0"/>
        <w:snapToGrid w:val="0"/>
        <w:spacing w:line="560" w:lineRule="exact"/>
        <w:ind w:left="0" w:leftChars="0" w:right="840" w:rightChars="400" w:firstLine="0" w:firstLineChars="0"/>
        <w:jc w:val="left"/>
        <w:textAlignment w:val="baseline"/>
        <w:rPr>
          <w:rFonts w:hint="eastAsia" w:ascii="仿宋" w:hAnsi="仿宋" w:eastAsia="仿宋" w:cs="仿宋"/>
          <w:spacing w:val="0"/>
          <w:w w:val="100"/>
          <w:sz w:val="32"/>
          <w:szCs w:val="32"/>
          <w:lang w:val="en-US" w:eastAsia="zh-CN"/>
        </w:rPr>
      </w:pPr>
      <w:r>
        <w:rPr>
          <w:rFonts w:hint="eastAsia" w:ascii="仿宋" w:hAnsi="仿宋" w:eastAsia="仿宋" w:cs="仿宋"/>
          <w:spacing w:val="0"/>
          <w:w w:val="100"/>
          <w:sz w:val="32"/>
          <w:szCs w:val="32"/>
          <w:lang w:val="en-US" w:eastAsia="zh-CN"/>
        </w:rPr>
        <w:t>晋江市市场监督管理局</w:t>
      </w:r>
      <w:r>
        <w:rPr>
          <w:rFonts w:ascii="仿宋" w:hAnsi="仿宋" w:eastAsia="仿宋" w:cs="仿宋"/>
          <w:sz w:val="32"/>
        </w:rPr>
        <w:t xml:space="preserve">   </w:t>
      </w:r>
    </w:p>
    <w:p w14:paraId="62A5EB11">
      <w:pPr>
        <w:keepNext w:val="0"/>
        <w:keepLines w:val="0"/>
        <w:pageBreakBefore w:val="0"/>
        <w:widowControl/>
        <w:tabs>
          <w:tab w:val="left" w:pos="5667"/>
        </w:tabs>
        <w:kinsoku w:val="0"/>
        <w:wordWrap/>
        <w:overflowPunct/>
        <w:topLinePunct w:val="0"/>
        <w:autoSpaceDE w:val="0"/>
        <w:autoSpaceDN w:val="0"/>
        <w:bidi/>
        <w:adjustRightInd w:val="0"/>
        <w:snapToGrid w:val="0"/>
        <w:spacing w:line="40" w:lineRule="exact"/>
        <w:ind w:left="0" w:leftChars="0" w:right="0" w:firstLine="1650" w:firstLineChars="1500"/>
        <w:jc w:val="left"/>
        <w:textAlignment w:val="baseline"/>
        <w:rPr>
          <w:rFonts w:hint="default" w:ascii="仿宋" w:hAnsi="仿宋" w:eastAsia="仿宋" w:cs="仿宋"/>
          <w:spacing w:val="0"/>
          <w:w w:val="100"/>
          <w:sz w:val="32"/>
          <w:szCs w:val="32"/>
          <w:lang w:val="en-US" w:eastAsia="zh-CN"/>
        </w:rPr>
      </w:pPr>
      <w:r>
        <w:rPr>
          <w:rFonts w:ascii="仿宋" w:hAnsi="仿宋" w:eastAsia="仿宋" w:cs="仿宋"/>
          <w:color w:val="FFFFFF" w:themeColor="background1"/>
          <w:spacing w:val="0"/>
          <w:w w:val="100"/>
          <w:sz w:val="11"/>
          <w:szCs w:val="11"/>
          <w14:textFill>
            <w14:solidFill>
              <w14:schemeClr w14:val="bg1"/>
            </w14:solidFill>
          </w14:textFill>
        </w:rPr>
        <w:t>（</w:t>
      </w:r>
      <w:r>
        <w:rPr>
          <w:rFonts w:hint="eastAsia" w:ascii="仿宋" w:hAnsi="仿宋" w:eastAsia="仿宋" w:cs="仿宋"/>
          <w:color w:val="FFFFFF" w:themeColor="background1"/>
          <w:spacing w:val="0"/>
          <w:w w:val="100"/>
          <w:sz w:val="11"/>
          <w:szCs w:val="11"/>
          <w:lang w:eastAsia="zh-CN"/>
          <w14:textFill>
            <w14:solidFill>
              <w14:schemeClr w14:val="bg1"/>
            </w14:solidFill>
          </w14:textFill>
        </w:rPr>
        <w:t>sealdwy</w:t>
      </w:r>
      <w:r>
        <w:rPr>
          <w:rFonts w:ascii="仿宋" w:hAnsi="仿宋" w:eastAsia="仿宋" w:cs="仿宋"/>
          <w:color w:val="FFFFFF" w:themeColor="background1"/>
          <w:spacing w:val="0"/>
          <w:w w:val="100"/>
          <w:sz w:val="11"/>
          <w:szCs w:val="11"/>
          <w14:textFill>
            <w14:solidFill>
              <w14:schemeClr w14:val="bg1"/>
            </w14:solidFill>
          </w14:textFill>
        </w:rPr>
        <w:t>）</w:t>
      </w:r>
      <w:r>
        <w:rPr>
          <w:rFonts w:ascii="仿宋" w:hAnsi="仿宋" w:eastAsia="仿宋" w:cs="仿宋"/>
          <w:color w:val="000000" w:themeColor="text1"/>
          <w:spacing w:val="0"/>
          <w:w w:val="100"/>
          <w:sz w:val="21"/>
          <w:szCs w:val="21"/>
          <w14:textFill>
            <w14:solidFill>
              <w14:schemeClr w14:val="tx1"/>
            </w14:solidFill>
          </w14:textFill>
        </w:rPr>
        <w:t xml:space="preserve"> </w:t>
      </w:r>
    </w:p>
    <w:p w14:paraId="4B485BB5">
      <w:pPr>
        <w:keepNext w:val="0"/>
        <w:keepLines w:val="0"/>
        <w:pageBreakBefore w:val="0"/>
        <w:widowControl/>
        <w:kinsoku w:val="0"/>
        <w:wordWrap w:val="0"/>
        <w:overflowPunct/>
        <w:topLinePunct w:val="0"/>
        <w:autoSpaceDE w:val="0"/>
        <w:autoSpaceDN w:val="0"/>
        <w:bidi/>
        <w:adjustRightInd w:val="0"/>
        <w:snapToGrid w:val="0"/>
        <w:spacing w:line="560" w:lineRule="exact"/>
        <w:ind w:right="840" w:rightChars="400" w:firstLine="0" w:firstLineChars="0"/>
        <w:jc w:val="left"/>
        <w:textAlignment w:val="baseline"/>
        <w:rPr>
          <w:rFonts w:hint="default" w:ascii="仿宋" w:hAnsi="仿宋" w:eastAsia="仿宋" w:cs="仿宋"/>
          <w:spacing w:val="0"/>
          <w:w w:val="100"/>
          <w:sz w:val="32"/>
          <w:szCs w:val="32"/>
          <w:lang w:val="en-US" w:eastAsia="zh-CN"/>
        </w:rPr>
      </w:pPr>
      <w:bookmarkStart w:id="1" w:name="decisionDate2"/>
      <w:r>
        <w:rPr>
          <w:rFonts w:hint="eastAsia" w:ascii="仿宋" w:hAnsi="仿宋" w:eastAsia="仿宋" w:cs="仿宋"/>
          <w:sz w:val="32"/>
          <w:szCs w:val="32"/>
          <w:lang w:eastAsia="zh-CN"/>
        </w:rPr>
        <w:t>2026年3月16日</w:t>
      </w:r>
      <w:bookmarkEnd w:id="1"/>
      <w:r>
        <w:rPr>
          <w:rFonts w:hint="eastAsia" w:ascii="仿宋" w:hAnsi="仿宋" w:eastAsia="仿宋" w:cs="仿宋"/>
          <w:spacing w:val="0"/>
          <w:w w:val="100"/>
          <w:sz w:val="32"/>
          <w:szCs w:val="32"/>
          <w:lang w:val="en-US" w:eastAsia="zh-CN"/>
        </w:rPr>
        <w:t xml:space="preserve">      </w:t>
      </w:r>
    </w:p>
    <w:p w14:paraId="3C795068">
      <w:pPr>
        <w:spacing w:line="279" w:lineRule="auto"/>
        <w:rPr>
          <w:rFonts w:ascii="黑体" w:hAnsi="黑体" w:eastAsia="黑体" w:cs="黑体"/>
          <w:color w:val="231F20"/>
          <w:spacing w:val="0"/>
          <w:w w:val="100"/>
          <w:sz w:val="32"/>
          <w:szCs w:val="32"/>
        </w:rPr>
      </w:pPr>
      <w:bookmarkStart w:id="2" w:name="thts2"/>
      <w:r>
        <w:rPr>
          <w:rFonts w:ascii="仿宋" w:hAnsi="仿宋" w:eastAsia="仿宋" w:cs="仿宋"/>
          <w:sz w:val="32"/>
        </w:rPr>
        <w:t xml:space="preserve"> </w:t>
      </w:r>
      <w:bookmarkEnd w:id="2"/>
    </w:p>
    <w:p w14:paraId="01E88058">
      <w:pPr>
        <w:spacing w:before="105" w:line="183" w:lineRule="auto"/>
        <w:ind w:firstLine="403"/>
        <w:jc w:val="center"/>
        <w:rPr>
          <w:rFonts w:hint="eastAsia" w:ascii="仿宋" w:hAnsi="仿宋" w:eastAsia="仿宋" w:cs="仿宋"/>
          <w:b/>
          <w:bCs/>
          <w:spacing w:val="0"/>
          <w:w w:val="100"/>
          <w:sz w:val="28"/>
          <w:szCs w:val="28"/>
          <w:u w:val="none"/>
          <w:lang w:val="en-US" w:eastAsia="zh-CN"/>
        </w:rPr>
      </w:pPr>
      <w:r>
        <w:rPr>
          <w:rFonts w:hint="eastAsia" w:ascii="仿宋" w:hAnsi="仿宋" w:eastAsia="仿宋" w:cs="仿宋"/>
          <w:b/>
          <w:bCs/>
          <w:spacing w:val="0"/>
          <w:w w:val="100"/>
          <w:sz w:val="28"/>
          <w:szCs w:val="28"/>
          <w:u w:val="none"/>
          <w:lang w:val="en-US" w:eastAsia="zh-CN"/>
        </w:rPr>
        <w:t>（市场监督管理部门将依法向社会公开行政处罚决定信息）</w:t>
      </w:r>
    </w:p>
    <w:p w14:paraId="16A9756A">
      <w:pPr>
        <w:spacing w:line="261" w:lineRule="auto"/>
        <w:rPr>
          <w:rFonts w:ascii="Microsoft JhengHei"/>
          <w:spacing w:val="0"/>
          <w:w w:val="100"/>
        </w:rPr>
      </w:pPr>
    </w:p>
    <w:p w14:paraId="0F21CDEB">
      <w:pPr>
        <w:spacing w:line="261" w:lineRule="auto"/>
        <w:rPr>
          <w:rFonts w:ascii="Microsoft JhengHei"/>
          <w:spacing w:val="0"/>
          <w:w w:val="100"/>
        </w:rPr>
      </w:pPr>
    </w:p>
    <w:p w14:paraId="7A0DB532">
      <w:pPr>
        <w:spacing w:line="26" w:lineRule="exact"/>
        <w:textAlignment w:val="center"/>
        <w:rPr>
          <w:spacing w:val="0"/>
          <w:w w:val="100"/>
        </w:rPr>
      </w:pPr>
      <w:r>
        <w:rPr>
          <w:spacing w:val="0"/>
          <w:w w:val="100"/>
        </w:rP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14:paraId="0ACFB0A2">
      <w:pPr>
        <w:spacing w:before="106" w:line="183" w:lineRule="auto"/>
        <w:ind w:firstLine="231"/>
        <w:rPr>
          <w:spacing w:val="0"/>
          <w:w w:val="100"/>
        </w:rPr>
      </w:pPr>
      <w:r>
        <w:rPr>
          <w:rFonts w:ascii="仿宋" w:hAnsi="仿宋" w:eastAsia="仿宋" w:cs="仿宋"/>
          <w:spacing w:val="0"/>
          <w:w w:val="100"/>
          <w:sz w:val="32"/>
          <w:szCs w:val="32"/>
        </w:rPr>
        <w:t>本文书一</w:t>
      </w:r>
      <w:r>
        <w:rPr>
          <w:rFonts w:ascii="仿宋" w:hAnsi="仿宋" w:eastAsia="仿宋" w:cs="仿宋"/>
          <w:spacing w:val="0"/>
          <w:w w:val="100"/>
          <w:sz w:val="32"/>
          <w:szCs w:val="32"/>
          <w:u w:val="none"/>
        </w:rPr>
        <w:t>式</w:t>
      </w:r>
      <w:r>
        <w:rPr>
          <w:rFonts w:hint="eastAsia" w:ascii="仿宋" w:hAnsi="仿宋" w:eastAsia="仿宋" w:cs="仿宋"/>
          <w:spacing w:val="0"/>
          <w:w w:val="100"/>
          <w:sz w:val="32"/>
          <w:szCs w:val="32"/>
          <w:u w:val="none"/>
          <w:lang w:val="en-US" w:eastAsia="zh-CN"/>
        </w:rPr>
        <w:t>二</w:t>
      </w:r>
      <w:r>
        <w:rPr>
          <w:rFonts w:ascii="仿宋" w:hAnsi="仿宋" w:eastAsia="仿宋" w:cs="仿宋"/>
          <w:spacing w:val="0"/>
          <w:w w:val="100"/>
          <w:sz w:val="32"/>
          <w:szCs w:val="32"/>
          <w:u w:val="none"/>
        </w:rPr>
        <w:t>份，</w:t>
      </w:r>
      <w:r>
        <w:rPr>
          <w:rFonts w:hint="eastAsia" w:ascii="仿宋" w:hAnsi="仿宋" w:eastAsia="仿宋" w:cs="仿宋"/>
          <w:spacing w:val="0"/>
          <w:w w:val="100"/>
          <w:sz w:val="32"/>
          <w:szCs w:val="32"/>
          <w:u w:val="none"/>
          <w:lang w:val="en-US" w:eastAsia="zh-CN"/>
        </w:rPr>
        <w:t>一</w:t>
      </w:r>
      <w:r>
        <w:rPr>
          <w:rFonts w:ascii="仿宋" w:hAnsi="仿宋" w:eastAsia="仿宋" w:cs="仿宋"/>
          <w:spacing w:val="0"/>
          <w:w w:val="100"/>
          <w:sz w:val="32"/>
          <w:szCs w:val="32"/>
          <w:u w:val="none"/>
        </w:rPr>
        <w:t>份送达，</w:t>
      </w:r>
      <w:r>
        <w:rPr>
          <w:rFonts w:hint="eastAsia" w:ascii="仿宋" w:hAnsi="仿宋" w:eastAsia="仿宋" w:cs="仿宋"/>
          <w:spacing w:val="0"/>
          <w:w w:val="100"/>
          <w:sz w:val="32"/>
          <w:szCs w:val="32"/>
          <w:u w:val="none"/>
          <w:lang w:val="en-US" w:eastAsia="zh-CN"/>
        </w:rPr>
        <w:t>一</w:t>
      </w:r>
      <w:r>
        <w:rPr>
          <w:rFonts w:ascii="仿宋" w:hAnsi="仿宋" w:eastAsia="仿宋" w:cs="仿宋"/>
          <w:spacing w:val="0"/>
          <w:w w:val="100"/>
          <w:sz w:val="32"/>
          <w:szCs w:val="32"/>
          <w:u w:val="none"/>
        </w:rPr>
        <w:t>份归档</w:t>
      </w:r>
      <w:r>
        <w:rPr>
          <w:rFonts w:hint="eastAsia" w:ascii="仿宋" w:hAnsi="仿宋" w:eastAsia="仿宋" w:cs="仿宋"/>
          <w:spacing w:val="0"/>
          <w:w w:val="100"/>
          <w:sz w:val="32"/>
          <w:szCs w:val="32"/>
          <w:u w:val="none"/>
          <w:lang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95400">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7280E">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0523EB0"/>
    <w:rsid w:val="016A6FD7"/>
    <w:rsid w:val="04293CFB"/>
    <w:rsid w:val="0B3440E4"/>
    <w:rsid w:val="0D447276"/>
    <w:rsid w:val="0DBD22EC"/>
    <w:rsid w:val="0DC12675"/>
    <w:rsid w:val="114C2FAE"/>
    <w:rsid w:val="11621A79"/>
    <w:rsid w:val="14515DD5"/>
    <w:rsid w:val="23AD74CB"/>
    <w:rsid w:val="24B9255E"/>
    <w:rsid w:val="25227A45"/>
    <w:rsid w:val="253A7874"/>
    <w:rsid w:val="264E7E89"/>
    <w:rsid w:val="27181761"/>
    <w:rsid w:val="289A78F2"/>
    <w:rsid w:val="29B35913"/>
    <w:rsid w:val="2A306760"/>
    <w:rsid w:val="2BEB12ED"/>
    <w:rsid w:val="2C545A11"/>
    <w:rsid w:val="2F8512FC"/>
    <w:rsid w:val="30175A94"/>
    <w:rsid w:val="34DC672B"/>
    <w:rsid w:val="353F631E"/>
    <w:rsid w:val="39B20F40"/>
    <w:rsid w:val="3AFB3A56"/>
    <w:rsid w:val="3AFE1F63"/>
    <w:rsid w:val="3B3E153E"/>
    <w:rsid w:val="3BF75330"/>
    <w:rsid w:val="3E8D1F7B"/>
    <w:rsid w:val="414D154E"/>
    <w:rsid w:val="41913B31"/>
    <w:rsid w:val="42E27DDC"/>
    <w:rsid w:val="44185E43"/>
    <w:rsid w:val="452A2718"/>
    <w:rsid w:val="464F5D68"/>
    <w:rsid w:val="474F4272"/>
    <w:rsid w:val="47BA0375"/>
    <w:rsid w:val="4D724A1E"/>
    <w:rsid w:val="526470DD"/>
    <w:rsid w:val="53553D5C"/>
    <w:rsid w:val="54ED50CA"/>
    <w:rsid w:val="55F46D30"/>
    <w:rsid w:val="57520189"/>
    <w:rsid w:val="591F781C"/>
    <w:rsid w:val="5BF3746A"/>
    <w:rsid w:val="5C58107B"/>
    <w:rsid w:val="5C7B2FBB"/>
    <w:rsid w:val="5C86208C"/>
    <w:rsid w:val="5E457324"/>
    <w:rsid w:val="63D74F7B"/>
    <w:rsid w:val="658B24C1"/>
    <w:rsid w:val="65CE23AE"/>
    <w:rsid w:val="66C739CD"/>
    <w:rsid w:val="69293CA2"/>
    <w:rsid w:val="6A252073"/>
    <w:rsid w:val="6AB959E6"/>
    <w:rsid w:val="6BE5323D"/>
    <w:rsid w:val="6C913852"/>
    <w:rsid w:val="6CC22541"/>
    <w:rsid w:val="6D6B31D2"/>
    <w:rsid w:val="6F842A78"/>
    <w:rsid w:val="72AF2EBE"/>
    <w:rsid w:val="751B33A8"/>
    <w:rsid w:val="77365F93"/>
    <w:rsid w:val="78D37FAF"/>
    <w:rsid w:val="795B53DC"/>
    <w:rsid w:val="7A08324D"/>
    <w:rsid w:val="7C091DFF"/>
    <w:rsid w:val="7C337D02"/>
    <w:rsid w:val="7D0A7D18"/>
    <w:rsid w:val="7DA55C93"/>
    <w:rsid w:val="7E726C6A"/>
    <w:rsid w:val="7F7D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199" w:lineRule="auto"/>
      <w:jc w:val="center"/>
      <w:outlineLvl w:val="0"/>
    </w:pPr>
    <w:rPr>
      <w:rFonts w:ascii="Microsoft JhengHei" w:hAnsi="Microsoft JhengHei" w:eastAsia="Microsoft JhengHei" w:cs="Microsoft JhengHei"/>
      <w:spacing w:val="-2"/>
      <w:sz w:val="44"/>
      <w:szCs w:val="44"/>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2e89b94e-d61e-4fd7-baed-0485546f08f0</errorID>
      <errorWord>身份证</errorWord>
      <group>L1_Sensitive</group>
      <groupName>敏感问题</groupName>
      <ability>L2_UserSensitive</ability>
      <abilityName>自定义敏感词</abilityName>
      <candidateList/>
      <explain>来自自定义敏感词库。</explain>
      <paraID> 7E8DFE7</paraID>
      <start>0</start>
      <end>3</end>
      <status>ignored</status>
      <modifiedWord/>
      <trackRevisions>false</trackRevisions>
    </reviewItem>
    <reviewItem>
      <errorID>77002465-7696-48f2-87cb-d0a5d40ed1fd</errorID>
      <errorWord>Ｋ</errorWord>
      <group>L1_Format</group>
      <groupName>格式问题</groupName>
      <ability>L2_HalfPunc</ability>
      <abilityName>全半角检查</abilityName>
      <candidateList>
        <item>K</item>
      </candidateList>
      <explain>文本全半角错误。</explain>
      <paraID>7EC074DF</paraID>
      <start>64</start>
      <end>65</end>
      <status>modified</status>
      <modifiedWord>K</modifiedWord>
      <trackRevisions>false</trackRevisions>
    </reviewItem>
    <reviewItem>
      <errorID>f1579369-84a7-4ed3-9b4e-f2d8b5a4ca5f</errorID>
      <errorWord>(</errorWord>
      <group>L1_Format</group>
      <groupName>格式问题</groupName>
      <ability>L2_HalfPunc</ability>
      <abilityName>全半角检查</abilityName>
      <candidateList>
        <item>（</item>
      </candidateList>
      <explain>文本全半角错误。</explain>
      <paraID>235E19E6</paraID>
      <start>30</start>
      <end>31</end>
      <status>ignored</status>
      <modifiedWord/>
      <trackRevisions>false</trackRevisions>
    </reviewItem>
    <reviewItem>
      <errorID>837ef342-4f5e-4b31-a31f-254835268251</errorID>
      <errorWord>)</errorWord>
      <group>L1_Format</group>
      <groupName>格式问题</groupName>
      <ability>L2_HalfPunc</ability>
      <abilityName>全半角检查</abilityName>
      <candidateList>
        <item>）</item>
      </candidateList>
      <explain>文本全半角错误。</explain>
      <paraID>235E19E6</paraID>
      <start>49</start>
      <end>50</end>
      <status>ignored</status>
      <modifiedWord/>
      <trackRevisions>false</trackRevisions>
    </reviewItem>
    <reviewItem>
      <errorID>339875c7-a18d-490a-a53c-8ca921ba7d90</errorID>
      <errorWord>《食品安全法》</errorWord>
      <group>L1_Word</group>
      <groupName>字词问题</groupName>
      <ability>L2_Typo</ability>
      <abilityName>字词错误</abilityName>
      <candidateList>
        <item>《中华人民共和国食品安全法》</item>
      </candidateList>
      <explain/>
      <paraID>25B10745</paraID>
      <start>318</start>
      <end>332</end>
      <status>modified</status>
      <modifiedWord>《中华人民共和国食品安全法》</modifiedWord>
      <trackRevisions>false</trackRevisions>
    </reviewItem>
    <reviewItem>
      <errorID>7f8465e5-1b93-401a-bcd7-c1e643e8dfdb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FDF58ED</paraID>
      <start>0</start>
      <end>2</end>
      <status>ignored</status>
      <modifiedWord/>
      <trackRevisions>false</trackRevisions>
    </reviewItem>
    <reviewItem>
      <errorID>45e99e4d-cd5e-4316-b424-d2eaf71141b6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20F855DE</paraID>
      <start>0</start>
      <end>2</end>
      <status>ignored</status>
      <modifiedWord/>
      <trackRevisions>false</trackRevisions>
    </reviewItem>
    <reviewItem>
      <errorID>c6ef12f4-6b47-434f-8c3f-20bc02dc5be3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7F7988A4</paraID>
      <start>0</start>
      <end>2</end>
      <status>ignored</status>
      <modifiedWord/>
      <trackRevisions>false</trackRevisions>
    </reviewItem>
    <reviewItem>
      <errorID>c8daafd5-14d9-44e3-97bd-f4194733af7d</errorID>
      <errorWord>以</errorWord>
      <group>L1_Word</group>
      <groupName>字词问题</groupName>
      <ability>L2_Typo</ability>
      <abilityName>字词错误</abilityName>
      <candidateList>
        <item>以在</item>
      </candidateList>
      <explain/>
      <paraID> E4570AD</paraID>
      <start>49</start>
      <end>51</end>
      <status>modified</status>
      <modifiedWord>以在</modifiedWord>
      <trackRevisions>false</trackRevisions>
    </reviewItem>
    <reviewItem>
      <errorID>e7be7923-5d9d-4624-b4ec-0b0b12c52487</errorID>
      <errorWord>法律、法规</errorWord>
      <group>L1_Word</group>
      <groupName>字词问题</groupName>
      <ability>L2_Typo</ability>
      <abilityName>字词错误</abilityName>
      <candidateList>
        <item>法律法规</item>
      </candidateList>
      <explain/>
      <paraID> E4570AD</paraID>
      <start>114</start>
      <end>119</end>
      <status>ignored</status>
      <modifiedWord/>
      <trackRevisions>false</trackRevisions>
    </reviewItem>
    <reviewItem>
      <errorID>cb6491dc-21d3-4b24-a7a1-7b9b8d8de65b</errorID>
      <errorWord>（</errorWord>
      <group>L1_Format</group>
      <groupName>格式问题</groupName>
      <ability>L2_HalfPunc</ability>
      <abilityName>全半角检查</abilityName>
      <candidateList>
        <item>(</item>
      </candidateList>
      <explain>文本全半角错误。</explain>
      <paraID>62A5EB11</paraID>
      <start>0</start>
      <end>1</end>
      <status>unmodified</status>
      <modifiedWord/>
      <trackRevisions>false</trackRevisions>
    </reviewItem>
    <reviewItem>
      <errorID>ddb099f6-2d54-4921-a5c4-b9a8b76f2f37</errorID>
      <errorWord>）</errorWord>
      <group>L1_Format</group>
      <groupName>格式问题</groupName>
      <ability>L2_HalfPunc</ability>
      <abilityName>全半角检查</abilityName>
      <candidateList>
        <item>)</item>
      </candidateList>
      <explain>文本全半角错误。</explain>
      <paraID>62A5EB11</paraID>
      <start>8</start>
      <end>9</end>
      <status>unmodified</status>
      <modifiedWord/>
      <trackRevisions>false</trackRevisions>
    </reviewItem>
    <reviewItem>
      <errorID>76f85614-3400-4cf9-a9d3-192442b6cf8b</errorID>
      <errorWord>2026年03月16日</errorWord>
      <group>L1_Knowledge</group>
      <groupName>知识性问题</groupName>
      <ability>L2_Time</ability>
      <abilityName>日期时间</abilityName>
      <candidateList>
        <item>2026年3月16日</item>
      </candidateList>
      <explain>根据日常书写习惯，月份一般会省略前导零。</explain>
      <paraID>4B485BB5</paraID>
      <start>0</start>
      <end>10</end>
      <status>modified</status>
      <modifiedWord>2026年3月16日</modifiedWord>
      <trackRevisions>false</trackRevisions>
    </reviewItem>
    <reviewItem>
      <errorID>1ad45e6f-1e8a-4d95-904b-b398b27e0a09</errorID>
      <errorWord>一式二份</errorWord>
      <group>L1_Word</group>
      <groupName>字词问题</groupName>
      <ability>L2_Typo</ability>
      <abilityName>字词错误</abilityName>
      <candidateList>
        <item>一式两份</item>
      </candidateList>
      <explain/>
      <paraID> ACFB0A2</paraID>
      <start>3</start>
      <end>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f75fc-aad7-41f8-9f88-df78aa65cf17}">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1586</Words>
  <Characters>1672</Characters>
  <Lines>0</Lines>
  <Paragraphs>0</Paragraphs>
  <TotalTime>1</TotalTime>
  <ScaleCrop>false</ScaleCrop>
  <LinksUpToDate>false</LinksUpToDate>
  <CharactersWithSpaces>1897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2024-02-28T02:14:00Z</dcterms:created>
  <dc:creator>admin</dc:creator>
  <cp:lastModifiedBy>天天8871</cp:lastModifiedBy>
  <dcterms:modified xsi:type="dcterms:W3CDTF">2026-04-09T08:27:58Z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ED50F6310F9C465AAC39074CF98706A0_13</vt:lpwstr>
  </property>
  <property fmtid="{D5CDD505-2E9C-101B-9397-08002B2CF9AE}" pid="4" name="KSOTemplateDocerSaveRecord">
    <vt:lpwstr>eyJoZGlkIjoiOTQ4NzBkNmM4Yzk5NTU5YTIwNTkxZTRlZDYxMzgyNTAiLCJ1c2VySWQiOiI3MjUzNTA0OTgifQ==</vt:lpwstr>
  </property>
</Properties>
</file>